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image/png" PartName="/word/media/document_image_rId10.png"/>
  <Override ContentType="image/png" PartName="/word/media/document_image_rId11.png"/>
  <Override ContentType="image/png" PartName="/word/media/document_image_rId12.png"/>
  <Override ContentType="image/png" PartName="/word/media/document_image_rId13.png"/>
  <Override ContentType="image/png" PartName="/word/media/document_image_rId14.png"/>
  <Override ContentType="image/png" PartName="/word/media/document_image_rId15.png"/>
  <Override ContentType="image/png" PartName="/word/media/document_image_rId16.png"/>
  <Override ContentType="image/png" PartName="/word/media/document_image_rId17.png"/>
  <Override ContentType="image/png" PartName="/word/media/document_image_rId18.png"/>
  <Override ContentType="image/png" PartName="/word/media/document_image_rId19.png"/>
  <Override ContentType="image/png" PartName="/word/media/document_image_rId20.png"/>
  <Override ContentType="image/png" PartName="/word/media/document_image_rId21.png"/>
  <Override ContentType="image/png" PartName="/word/media/document_image_rId22.png"/>
  <Override ContentType="image/png" PartName="/word/media/document_image_rId23.png"/>
  <Override ContentType="image/png" PartName="/word/media/document_image_rId24.png"/>
  <Override ContentType="image/png" PartName="/word/media/document_image_rId25.png"/>
  <Override ContentType="image/png" PartName="/word/media/document_image_rId26.png"/>
  <Override ContentType="image/png" PartName="/word/media/document_image_rId27.png"/>
  <Override ContentType="image/png" PartName="/word/media/document_image_rId28.png"/>
  <Override ContentType="image/png" PartName="/word/media/document_image_rId29.png"/>
  <Override ContentType="image/png" PartName="/word/media/document_image_rId30.png"/>
  <Override ContentType="image/png" PartName="/word/media/document_image_rId31.png"/>
  <Override ContentType="image/png" PartName="/word/media/document_image_rId32.png"/>
  <Override ContentType="image/png" PartName="/word/media/document_image_rId33.png"/>
  <Override ContentType="image/png" PartName="/word/media/document_image_rId34.png"/>
  <Override ContentType="image/png" PartName="/word/media/document_image_rId35.png"/>
  <Override ContentType="image/png" PartName="/word/media/document_image_rId36.png"/>
  <Override ContentType="image/png" PartName="/word/media/document_image_rId37.png"/>
  <Override ContentType="image/png" PartName="/word/media/document_image_rId38.png"/>
  <Override ContentType="image/png" PartName="/word/media/document_image_rId39.png"/>
  <Override ContentType="image/png" PartName="/word/media/document_image_rId9.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/><Relationship Target="docProps/core.xml" Type="http://schemas.openxmlformats.org/package/2006/relationships/metadata/core-properties" Id="rId2"/><Relationship Target="word/document.xml" Type="http://schemas.openxmlformats.org/officeDocument/2006/relationships/officeDocument" Id="rId1"/><Relationship Target="docProps/custom.xml" Type="http://schemas.openxmlformats.org/officeDocument/2006/relationships/custom-properties" Id="rId4"/></Relationships>
</file>

<file path=word/document.xml><?xml version="1.0" encoding="utf-8"?>
<w:document xmlns:r="http://schemas.openxmlformats.org/officeDocument/2006/relationships" xmlns:w="http://schemas.openxmlformats.org/wordprocessingml/2006/main" xmlns:w15="http://schemas.microsoft.com/office/word/2012/wordml" xmlns:w14="http://schemas.microsoft.com/office/word/2010/wordml" xmlns:wp="http://schemas.openxmlformats.org/drawingml/2006/wordprocessingDrawing" xmlns:a="http://schemas.openxmlformats.org/drawingml/2006/main" xmlns:wp14="http://schemas.microsoft.com/office/word/2010/wordprocessingDrawing" xmlns:m="http://schemas.openxmlformats.org/officeDocument/2006/math" xmlns:mc="http://schemas.openxmlformats.org/markup-compatibility/2006" xmlns:ns10="http://schemas.openxmlformats.org/schemaLibrary/2006/main" xmlns:wne="http://schemas.microsoft.com/office/word/2006/wordml" xmlns:c="http://schemas.openxmlformats.org/drawingml/2006/chart" xmlns:ns13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20="urn:schemas-microsoft-com:office:excel" xmlns:w10="urn:schemas-microsoft-com:office:word" xmlns:ns22="urn:schemas-microsoft-com:office:powerpoint" xmlns:ns24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etp="http://schemas.microsoft.com/office/webextensions/taskpanes/2010/11" xmlns:we="http://schemas.microsoft.com/office/webextensions/webextension/2010/11" xmlns:ns34="http://schemas.openxmlformats.org/drawingml/2006/compatibility" xmlns:ns35="http://schemas.openxmlformats.org/drawingml/2006/lockedCanvas" xmlns:w16se="http://schemas.microsoft.com/office/word/2015/wordml/symex" mc:Ignorable="w14 w15 w16se wp14">
  <w:body>
    <w:p>
      <w:pPr>
        <w:snapToGrid w:val="false"/>
        <w:spacing w:before="0" w:after="0" w:line="312" w:lineRule="auto"/>
        <w:ind/>
        <w:jc w:val="center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宋体" w:hAnsi="宋体" w:eastAsia="宋体"/>
          <w:b w:val="true"/>
          <w:bCs w:val="true"/>
          <w:color w:val="000000"/>
          <w:sz w:val="72"/>
          <w:szCs w:val="72"/>
        </w:rPr>
        <w:t>资产验收入库及报销流程</w:t>
      </w:r>
    </w:p>
    <w:p>
      <w:pPr>
        <w:snapToGrid w:val="false"/>
        <w:spacing w:before="0" w:after="0" w:line="312" w:lineRule="auto"/>
        <w:ind/>
        <w:jc w:val="center"/>
        <w:rPr>
          <w:rFonts w:ascii="微软雅黑" w:hAnsi="微软雅黑" w:eastAsia="微软雅黑"/>
          <w:color w:val="000000"/>
          <w:sz w:val="36"/>
          <w:szCs w:val="36"/>
        </w:rPr>
      </w:pPr>
      <w:r>
        <w:rPr>
          <w:rFonts w:ascii="宋体" w:hAnsi="宋体" w:eastAsia="宋体"/>
          <w:b w:val="true"/>
          <w:bCs w:val="true"/>
          <w:color w:val="000000"/>
          <w:sz w:val="36"/>
          <w:szCs w:val="36"/>
        </w:rPr>
        <w:t>2020年11月</w:t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'Times New Roman'" w:hAnsi="'Times New Roman'" w:eastAsia="'Times New Roman'"/>
          <w:color w:val="000000"/>
          <w:sz w:val="48"/>
          <w:szCs w:val="48"/>
        </w:rPr>
        <w:t>资产系统登录——信息门户——资产管理共享平台</w:t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  <w:drawing>
          <wp:inline distT="0" distB="0" distL="0" distR="0">
            <wp:extent cx="6036310" cy="2945104"/>
            <wp:effectExtent l="0" t="0" r="0" b="0"/>
            <wp:docPr id="1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6310" cy="294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</w:r>
    </w:p>
    <w:p>
      <w:pPr>
        <w:snapToGrid w:val="false"/>
        <w:spacing w:before="0" w:after="0" w:line="312" w:lineRule="auto"/>
        <w:ind/>
        <w:jc w:val="left"/>
        <w:rPr>
          <w:rFonts w:ascii="'Times New Roman'" w:hAnsi="'Times New Roman'" w:eastAsia="'Times New Roman'"/>
          <w:color w:val="000000"/>
          <w:sz w:val="48"/>
          <w:szCs w:val="48"/>
        </w:rPr>
      </w:pPr>
      <w:r>
        <w:rPr>
          <w:rFonts w:ascii="'Times New Roman'" w:hAnsi="'Times New Roman'" w:eastAsia="'Times New Roman'"/>
          <w:color w:val="000000"/>
          <w:sz w:val="48"/>
          <w:szCs w:val="48"/>
        </w:rPr>
        <w:t>资产管理——入账管理</w:t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  <w:drawing>
          <wp:inline distT="0" distB="0" distL="0" distR="0">
            <wp:extent cx="6036310" cy="2782634"/>
            <wp:effectExtent l="0" t="0" r="0" b="0"/>
            <wp:docPr id="2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6310" cy="278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  <w:drawing>
          <wp:inline distT="0" distB="0" distL="0" distR="0">
            <wp:extent cx="6036310" cy="3175168"/>
            <wp:effectExtent l="0" t="0" r="0" b="0"/>
            <wp:docPr id="3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6310" cy="317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'Times New Roman'" w:hAnsi="'Times New Roman'" w:eastAsia="'Times New Roman'"/>
          <w:color w:val="000000"/>
          <w:sz w:val="48"/>
          <w:szCs w:val="48"/>
        </w:rPr>
        <w:t>选择入账资产类别</w:t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  <w:drawing>
          <wp:inline distT="0" distB="0" distL="0" distR="0">
            <wp:extent cx="6036310" cy="4102600"/>
            <wp:effectExtent l="0" t="0" r="0" b="0"/>
            <wp:docPr id="4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6310" cy="4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'Times New Roman'" w:hAnsi="'Times New Roman'" w:eastAsia="'Times New Roman'"/>
          <w:color w:val="000000"/>
          <w:sz w:val="48"/>
          <w:szCs w:val="48"/>
        </w:rPr>
        <w:t>例如：购买台式电脑 点击设备——查找计算机</w:t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  <w:drawing>
          <wp:inline distT="0" distB="0" distL="0" distR="0">
            <wp:extent cx="6036310" cy="3227506"/>
            <wp:effectExtent l="0" t="0" r="0" b="0"/>
            <wp:docPr id="5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36310" cy="322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</w:r>
    </w:p>
    <w:p>
      <w:pPr>
        <w:snapToGrid w:val="false"/>
        <w:spacing w:before="0" w:after="0" w:line="312" w:lineRule="auto"/>
        <w:ind/>
        <w:jc w:val="left"/>
        <w:rPr>
          <w:rFonts w:ascii="'Times New Roman'" w:hAnsi="'Times New Roman'" w:eastAsia="'Times New Roman'"/>
          <w:color w:val="000000"/>
          <w:sz w:val="48"/>
          <w:szCs w:val="48"/>
        </w:rPr>
      </w:pPr>
      <w:r>
        <w:rPr>
          <w:rFonts w:ascii="'Times New Roman'" w:hAnsi="'Times New Roman'" w:eastAsia="'Times New Roman'"/>
          <w:color w:val="000000"/>
          <w:sz w:val="48"/>
          <w:szCs w:val="48"/>
        </w:rPr>
        <w:t>选择微型计算机</w:t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  <w:drawing>
          <wp:inline distT="0" distB="0" distL="0" distR="0">
            <wp:extent cx="6036310" cy="3384520"/>
            <wp:effectExtent l="0" t="0" r="0" b="0"/>
            <wp:docPr id="6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36310" cy="338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</w:r>
    </w:p>
    <w:p>
      <w:pPr>
        <w:snapToGrid w:val="false"/>
        <w:spacing w:before="0" w:after="0" w:line="312" w:lineRule="auto"/>
        <w:ind/>
        <w:jc w:val="left"/>
        <w:rPr>
          <w:rFonts w:ascii="'Times New Roman'" w:hAnsi="'Times New Roman'" w:eastAsia="'Times New Roman'"/>
          <w:color w:val="000000"/>
          <w:sz w:val="48"/>
          <w:szCs w:val="48"/>
        </w:rPr>
      </w:pPr>
      <w:r>
        <w:rPr>
          <w:rFonts w:ascii="'Times New Roman'" w:hAnsi="'Times New Roman'" w:eastAsia="'Times New Roman'"/>
          <w:color w:val="000000"/>
          <w:sz w:val="48"/>
          <w:szCs w:val="48"/>
        </w:rPr>
        <w:t>更改资产名称——台式电脑</w:t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  <w:drawing>
          <wp:inline distT="0" distB="0" distL="0" distR="0">
            <wp:extent cx="6036310" cy="3192614"/>
            <wp:effectExtent l="0" t="0" r="0" b="0"/>
            <wp:docPr id="7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36310" cy="319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</w:r>
    </w:p>
    <w:p>
      <w:pPr>
        <w:snapToGrid w:val="false"/>
        <w:spacing w:before="0" w:after="0" w:line="312" w:lineRule="auto"/>
        <w:ind/>
        <w:jc w:val="left"/>
        <w:rPr>
          <w:rFonts w:ascii="'Times New Roman'" w:hAnsi="'Times New Roman'" w:eastAsia="'Times New Roman'"/>
          <w:color w:val="FF0000"/>
          <w:sz w:val="48"/>
          <w:szCs w:val="48"/>
        </w:rPr>
      </w:pPr>
      <w:r>
        <w:rPr>
          <w:rFonts w:ascii="'Times New Roman'" w:hAnsi="'Times New Roman'" w:eastAsia="'Times New Roman'"/>
          <w:color w:val="000000"/>
          <w:sz w:val="48"/>
          <w:szCs w:val="48"/>
        </w:rPr>
        <w:t>输入</w:t>
      </w:r>
      <w:r>
        <w:rPr>
          <w:rFonts w:ascii="'Times New Roman'" w:hAnsi="'Times New Roman'" w:eastAsia="'Times New Roman'"/>
          <w:color w:val="FF0000"/>
          <w:sz w:val="48"/>
          <w:szCs w:val="48"/>
        </w:rPr>
        <w:t>型号</w:t>
      </w:r>
      <w:r>
        <w:rPr>
          <w:rFonts w:ascii="'Times New Roman'" w:hAnsi="'Times New Roman'" w:eastAsia="'Times New Roman'"/>
          <w:color w:val="000000"/>
          <w:sz w:val="48"/>
          <w:szCs w:val="48"/>
        </w:rPr>
        <w:t>和</w:t>
      </w:r>
      <w:r>
        <w:rPr>
          <w:rFonts w:ascii="'Times New Roman'" w:hAnsi="'Times New Roman'" w:eastAsia="'Times New Roman'"/>
          <w:color w:val="FF0000"/>
          <w:sz w:val="48"/>
          <w:szCs w:val="48"/>
        </w:rPr>
        <w:t>规格</w:t>
      </w:r>
      <w:r>
        <w:rPr>
          <w:rFonts w:ascii="'Times New Roman'" w:hAnsi="'Times New Roman'" w:eastAsia="'Times New Roman'"/>
          <w:color w:val="000000"/>
          <w:sz w:val="48"/>
          <w:szCs w:val="48"/>
        </w:rPr>
        <w:t>后选择</w:t>
      </w:r>
      <w:r>
        <w:rPr>
          <w:rFonts w:ascii="'Times New Roman'" w:hAnsi="'Times New Roman'" w:eastAsia="'Times New Roman'"/>
          <w:color w:val="FF0000"/>
          <w:sz w:val="48"/>
          <w:szCs w:val="48"/>
        </w:rPr>
        <w:t>仪器来源</w:t>
      </w:r>
      <w:r>
        <w:rPr>
          <w:rFonts w:ascii="'Times New Roman'" w:hAnsi="'Times New Roman'" w:eastAsia="'Times New Roman'"/>
          <w:color w:val="000000"/>
          <w:sz w:val="48"/>
          <w:szCs w:val="48"/>
        </w:rPr>
        <w:t>、</w:t>
      </w:r>
      <w:r>
        <w:rPr>
          <w:rFonts w:ascii="'Times New Roman'" w:hAnsi="'Times New Roman'" w:eastAsia="'Times New Roman'"/>
          <w:color w:val="FF0000"/>
          <w:sz w:val="48"/>
          <w:szCs w:val="48"/>
        </w:rPr>
        <w:t>经费来源</w:t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  <w:drawing>
          <wp:inline distT="0" distB="0" distL="0" distR="0">
            <wp:extent cx="6036310" cy="3602595"/>
            <wp:effectExtent l="0" t="0" r="0" b="0"/>
            <wp:docPr id="8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36310" cy="360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  <w:drawing>
          <wp:inline distT="0" distB="0" distL="0" distR="0">
            <wp:extent cx="6036310" cy="2965817"/>
            <wp:effectExtent l="0" t="0" r="0" b="0"/>
            <wp:docPr id="9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36310" cy="296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</w:r>
    </w:p>
    <w:p>
      <w:pPr>
        <w:snapToGrid w:val="false"/>
        <w:spacing w:before="0" w:after="0" w:line="312" w:lineRule="auto"/>
        <w:ind/>
        <w:jc w:val="left"/>
        <w:rPr>
          <w:rFonts w:ascii="'Times New Roman'" w:hAnsi="'Times New Roman'" w:eastAsia="'Times New Roman'"/>
          <w:color w:val="000000"/>
          <w:sz w:val="48"/>
          <w:szCs w:val="48"/>
        </w:rPr>
      </w:pPr>
      <w:r>
        <w:rPr>
          <w:rFonts w:ascii="'Times New Roman'" w:hAnsi="'Times New Roman'" w:eastAsia="'Times New Roman'"/>
          <w:color w:val="000000"/>
          <w:sz w:val="48"/>
          <w:szCs w:val="48"/>
        </w:rPr>
        <w:drawing>
          <wp:inline distT="0" distB="0" distL="0" distR="0">
            <wp:extent cx="6036310" cy="2433714"/>
            <wp:effectExtent l="0" t="0" r="0" b="0"/>
            <wp:docPr id="1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36310" cy="243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'Times New Roman'" w:hAnsi="'Times New Roman'" w:eastAsia="'Times New Roman'"/>
          <w:color w:val="000000"/>
          <w:sz w:val="48"/>
          <w:szCs w:val="48"/>
        </w:rPr>
        <w:t>选择</w:t>
      </w:r>
      <w:r>
        <w:rPr>
          <w:rFonts w:ascii="'Times New Roman'" w:hAnsi="'Times New Roman'" w:eastAsia="'Times New Roman'"/>
          <w:color w:val="FF0000"/>
          <w:sz w:val="48"/>
          <w:szCs w:val="48"/>
        </w:rPr>
        <w:t>使用单位</w:t>
      </w:r>
      <w:r>
        <w:rPr>
          <w:rFonts w:ascii="'Times New Roman'" w:hAnsi="'Times New Roman'" w:eastAsia="'Times New Roman'"/>
          <w:color w:val="000000"/>
          <w:sz w:val="48"/>
          <w:szCs w:val="48"/>
        </w:rPr>
        <w:t>、</w:t>
      </w:r>
      <w:r>
        <w:rPr>
          <w:rFonts w:ascii="'Times New Roman'" w:hAnsi="'Times New Roman'" w:eastAsia="'Times New Roman'"/>
          <w:color w:val="FF0000"/>
          <w:sz w:val="48"/>
          <w:szCs w:val="48"/>
        </w:rPr>
        <w:t>管理人</w:t>
      </w:r>
      <w:r>
        <w:rPr>
          <w:rFonts w:ascii="'Times New Roman'" w:hAnsi="'Times New Roman'" w:eastAsia="'Times New Roman'"/>
          <w:color w:val="000000"/>
          <w:sz w:val="48"/>
          <w:szCs w:val="48"/>
        </w:rPr>
        <w:t>、</w:t>
      </w:r>
      <w:r>
        <w:rPr>
          <w:rFonts w:ascii="'Times New Roman'" w:hAnsi="'Times New Roman'" w:eastAsia="'Times New Roman'"/>
          <w:color w:val="FF0000"/>
          <w:sz w:val="48"/>
          <w:szCs w:val="48"/>
        </w:rPr>
        <w:t>领用人</w:t>
      </w:r>
      <w:r>
        <w:rPr>
          <w:rFonts w:ascii="'Times New Roman'" w:hAnsi="'Times New Roman'" w:eastAsia="'Times New Roman'"/>
          <w:color w:val="000000"/>
          <w:sz w:val="48"/>
          <w:szCs w:val="48"/>
        </w:rPr>
        <w:t>等信息</w:t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'Times New Roman'" w:hAnsi="'Times New Roman'" w:eastAsia="'Times New Roman'"/>
          <w:color w:val="000000"/>
          <w:sz w:val="48"/>
          <w:szCs w:val="48"/>
        </w:rPr>
        <w:t>附件栏上传</w:t>
      </w:r>
      <w:r>
        <w:rPr>
          <w:rFonts w:ascii="'Times New Roman'" w:hAnsi="'Times New Roman'" w:eastAsia="'Times New Roman'"/>
          <w:color w:val="FF0000"/>
          <w:sz w:val="48"/>
          <w:szCs w:val="48"/>
        </w:rPr>
        <w:t>发票</w:t>
      </w:r>
      <w:r>
        <w:rPr>
          <w:rFonts w:ascii="'Times New Roman'" w:hAnsi="'Times New Roman'" w:eastAsia="'Times New Roman'"/>
          <w:color w:val="000000"/>
          <w:sz w:val="48"/>
          <w:szCs w:val="48"/>
        </w:rPr>
        <w:t>、</w:t>
      </w:r>
      <w:r>
        <w:rPr>
          <w:rFonts w:ascii="'Times New Roman'" w:hAnsi="'Times New Roman'" w:eastAsia="'Times New Roman'"/>
          <w:color w:val="FF0000"/>
          <w:sz w:val="48"/>
          <w:szCs w:val="48"/>
        </w:rPr>
        <w:t>设备外观</w:t>
      </w:r>
      <w:r>
        <w:rPr>
          <w:rFonts w:ascii="'Times New Roman'" w:hAnsi="'Times New Roman'" w:eastAsia="'Times New Roman'"/>
          <w:color w:val="000000"/>
          <w:sz w:val="48"/>
          <w:szCs w:val="48"/>
        </w:rPr>
        <w:t>等信息</w:t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  <w:drawing>
          <wp:inline distT="0" distB="0" distL="0" distR="0">
            <wp:extent cx="6036310" cy="3253675"/>
            <wp:effectExtent l="0" t="0" r="0" b="0"/>
            <wp:docPr id="11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36310" cy="325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'Times New Roman'" w:hAnsi="'Times New Roman'" w:eastAsia="'Times New Roman'"/>
          <w:color w:val="000000"/>
          <w:sz w:val="48"/>
          <w:szCs w:val="48"/>
        </w:rPr>
        <w:t>保存后填写经费信息</w:t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  <w:drawing>
          <wp:inline distT="0" distB="0" distL="0" distR="0">
            <wp:extent cx="1190625" cy="2447925"/>
            <wp:effectExtent l="0" t="0" r="0" b="0"/>
            <wp:docPr id="12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  <w:drawing>
          <wp:inline distT="0" distB="0" distL="0" distR="0">
            <wp:extent cx="6036310" cy="2608174"/>
            <wp:effectExtent l="0" t="0" r="0" b="0"/>
            <wp:docPr id="13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36310" cy="260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'Times New Roman'" w:hAnsi="'Times New Roman'" w:eastAsia="'Times New Roman'"/>
          <w:color w:val="000000"/>
          <w:sz w:val="48"/>
          <w:szCs w:val="48"/>
        </w:rPr>
        <w:t>经费获取方式</w:t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'Times New Roman'" w:hAnsi="'Times New Roman'" w:eastAsia="'Times New Roman'"/>
          <w:color w:val="000000"/>
          <w:sz w:val="48"/>
          <w:szCs w:val="48"/>
        </w:rPr>
        <w:t>1、按照当前用户工号获取经费信息（当前用户必须是项目负责人或者被授权人）</w:t>
      </w:r>
    </w:p>
    <w:p>
      <w:pPr>
        <w:snapToGrid w:val="false"/>
        <w:spacing w:before="0" w:after="0" w:line="312" w:lineRule="auto"/>
        <w:ind/>
        <w:jc w:val="left"/>
        <w:rPr>
          <w:rFonts w:ascii="'Times New Roman'" w:hAnsi="'Times New Roman'" w:eastAsia="'Times New Roman'"/>
          <w:color w:val="000000"/>
          <w:sz w:val="48"/>
          <w:szCs w:val="48"/>
        </w:rPr>
      </w:pPr>
      <w:r>
        <w:rPr>
          <w:rFonts w:ascii="'Times New Roman'" w:hAnsi="'Times New Roman'" w:eastAsia="'Times New Roman'"/>
          <w:color w:val="000000"/>
          <w:sz w:val="48"/>
          <w:szCs w:val="48"/>
        </w:rPr>
        <w:t>2、手动输入经费号（方式 “</w:t>
      </w:r>
      <w:r>
        <w:rPr>
          <w:rFonts w:ascii="'Times New Roman'" w:hAnsi="'Times New Roman'" w:eastAsia="'Times New Roman'"/>
          <w:color w:val="FF0000"/>
          <w:sz w:val="48"/>
          <w:szCs w:val="48"/>
        </w:rPr>
        <w:t>部门代码-经费号</w:t>
      </w:r>
      <w:r>
        <w:rPr>
          <w:rFonts w:ascii="'Times New Roman'" w:hAnsi="'Times New Roman'" w:eastAsia="'Times New Roman'"/>
          <w:color w:val="000000"/>
          <w:sz w:val="48"/>
          <w:szCs w:val="48"/>
        </w:rPr>
        <w:t>”）</w:t>
      </w:r>
      <w:r>
        <w:rPr>
          <w:rFonts w:ascii="'Times New Roman'" w:hAnsi="'Times New Roman'" w:eastAsia="'Times New Roman'"/>
          <w:color w:val="0188FB"/>
          <w:sz w:val="48"/>
          <w:szCs w:val="48"/>
        </w:rPr>
        <w:t>中间是一个“-”的符号链接</w:t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</w:r>
    </w:p>
    <w:p>
      <w:pPr>
        <w:snapToGrid w:val="false"/>
        <w:spacing w:before="0" w:after="0" w:line="312" w:lineRule="auto"/>
        <w:ind/>
        <w:jc w:val="left"/>
        <w:rPr>
          <w:rFonts w:ascii="'Times New Roman'" w:hAnsi="'Times New Roman'" w:eastAsia="'Times New Roman'"/>
          <w:color w:val="ff0000"/>
          <w:sz w:val="48"/>
          <w:szCs w:val="48"/>
        </w:rPr>
      </w:pPr>
      <w:r>
        <w:rPr>
          <w:rFonts w:ascii="'Times New Roman'" w:hAnsi="'Times New Roman'" w:eastAsia="'Times New Roman'"/>
          <w:color w:val="ff0000"/>
          <w:sz w:val="48"/>
          <w:szCs w:val="48"/>
        </w:rPr>
        <w:t>3、同类别资产录入至一张验收单，多类别资产分多笔验收单录入，如批量购买的“通用设备”为一张验收单，批量购买的“专用设备”为一张验收单。</w:t>
      </w:r>
    </w:p>
    <w:p>
      <w:pPr>
        <w:snapToGrid w:val="false"/>
        <w:spacing w:before="0" w:after="0" w:line="312" w:lineRule="auto"/>
        <w:ind/>
        <w:jc w:val="left"/>
        <w:rPr>
          <w:rFonts w:ascii="'Times New Roman'" w:hAnsi="'Times New Roman'" w:eastAsia="'Times New Roman'"/>
          <w:color w:val="ff0000"/>
          <w:sz w:val="48"/>
          <w:szCs w:val="48"/>
        </w:rPr>
      </w:pPr>
      <w:r>
        <w:rPr>
          <w:rFonts w:ascii="'Times New Roman'" w:hAnsi="'Times New Roman'" w:eastAsia="'Times New Roman'"/>
          <w:color w:val="ff0000"/>
          <w:sz w:val="48"/>
          <w:szCs w:val="48"/>
        </w:rPr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188fb"/>
          <w:sz w:val="24"/>
          <w:szCs w:val="24"/>
        </w:rPr>
      </w:pPr>
      <w:r>
        <w:rPr>
          <w:rFonts w:ascii="'Times New Roman'" w:hAnsi="'Times New Roman'" w:eastAsia="'Times New Roman'"/>
          <w:color w:val="ff0000"/>
          <w:sz w:val="48"/>
          <w:szCs w:val="48"/>
        </w:rPr>
        <w:t xml:space="preserve">4、涉及多笔资金报销的资产，目前仅支持多项目资金够买单一设备，如 </w:t>
      </w:r>
      <w:r>
        <w:rPr>
          <w:rFonts w:ascii="'Times New Roman'" w:hAnsi="'Times New Roman'" w:eastAsia="'Times New Roman'"/>
          <w:color w:val="0188FB"/>
          <w:sz w:val="48"/>
          <w:szCs w:val="48"/>
        </w:rPr>
        <w:t xml:space="preserve">两个课题经费组合购买一台电脑  </w:t>
      </w:r>
      <w:r>
        <w:rPr>
          <w:rFonts w:ascii="'Times New Roman'" w:hAnsi="'Times New Roman'" w:eastAsia="'Times New Roman'"/>
          <w:color w:val="FF0000"/>
          <w:sz w:val="48"/>
          <w:szCs w:val="48"/>
        </w:rPr>
        <w:t>暂不支持 多笔经费够买多台设备 如</w:t>
      </w:r>
      <w:r>
        <w:rPr>
          <w:rFonts w:ascii="'Times New Roman'" w:hAnsi="'Times New Roman'" w:eastAsia="'Times New Roman'"/>
          <w:color w:val="0188fb"/>
          <w:sz w:val="48"/>
          <w:szCs w:val="48"/>
        </w:rPr>
        <w:t>两个课题经费组合购买三台电脑</w:t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</w:r>
    </w:p>
    <w:p>
      <w:pPr>
        <w:snapToGrid w:val="false"/>
        <w:spacing w:before="0" w:after="0" w:line="240" w:lineRule="auto"/>
        <w:ind w:left="0" w:right="0"/>
        <w:jc w:val="left"/>
        <w:rPr>
          <w:rFonts w:ascii="宋体" w:hAnsi="宋体" w:eastAsia="宋体"/>
          <w:color w:val="ff0000"/>
          <w:sz w:val="48"/>
          <w:szCs w:val="48"/>
        </w:rPr>
      </w:pPr>
      <w:r>
        <w:rPr>
          <w:rFonts w:ascii="'Times New Roman'" w:hAnsi="'Times New Roman'" w:eastAsia="'Times New Roman'"/>
          <w:color w:val="ff0000"/>
          <w:sz w:val="48"/>
          <w:szCs w:val="48"/>
        </w:rPr>
        <w:t>5、</w:t>
      </w:r>
      <w:r>
        <w:rPr>
          <w:rFonts w:ascii="Times New Roman" w:hAnsi="Times New Roman" w:eastAsia="Times New Roman"/>
          <w:color w:val="ff0000"/>
          <w:sz w:val="48"/>
          <w:szCs w:val="48"/>
        </w:rPr>
        <w:t>完成后保存提交审核，待审核通过后至实物管理部门领取机身条码</w:t>
      </w:r>
      <w:r>
        <w:rPr>
          <w:rFonts w:ascii="宋体" w:hAnsi="宋体" w:eastAsia="宋体"/>
          <w:color w:val="ff0000"/>
          <w:sz w:val="48"/>
          <w:szCs w:val="48"/>
        </w:rPr>
        <w:t>。</w:t>
      </w:r>
    </w:p>
    <w:p>
      <w:pPr>
        <w:snapToGrid w:val="false"/>
        <w:spacing w:before="0" w:after="0" w:line="240" w:lineRule="auto"/>
        <w:ind w:left="0" w:right="0"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</w:r>
    </w:p>
    <w:p>
      <w:pPr>
        <w:snapToGrid w:val="false"/>
        <w:spacing w:before="0" w:after="0" w:line="240" w:lineRule="auto"/>
        <w:ind w:left="0" w:right="0"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</w:r>
    </w:p>
    <w:p>
      <w:pPr>
        <w:snapToGrid w:val="false"/>
        <w:spacing w:before="0" w:after="0" w:line="240" w:lineRule="auto"/>
        <w:ind w:left="0" w:right="0"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'Times New Roman'" w:hAnsi="'Times New Roman'" w:eastAsia="'Times New Roman'"/>
          <w:color w:val="ff0000"/>
          <w:sz w:val="48"/>
          <w:szCs w:val="48"/>
        </w:rPr>
        <w:t>6、</w:t>
      </w:r>
      <w:r>
        <w:rPr>
          <w:rFonts w:ascii="Times New Roman" w:hAnsi="Times New Roman" w:eastAsia="Times New Roman"/>
          <w:color w:val="ff0000"/>
          <w:sz w:val="48"/>
          <w:szCs w:val="48"/>
        </w:rPr>
        <w:t>领取机身条码后，进入资产管理</w:t>
      </w:r>
      <w:r>
        <w:rPr>
          <w:rFonts w:ascii="'Times New Roman'" w:hAnsi="'Times New Roman'" w:eastAsia="'Times New Roman'"/>
          <w:color w:val="ff0000"/>
          <w:sz w:val="48"/>
          <w:szCs w:val="48"/>
        </w:rPr>
        <w:t>——入账终审菜单，选取待上传资产，上传粘贴有机身条码的资产照片，等待终审。</w:t>
      </w:r>
    </w:p>
    <w:p>
      <w:pPr>
        <w:snapToGrid w:val="false"/>
        <w:spacing w:before="0" w:after="0" w:line="312" w:lineRule="auto"/>
        <w:ind/>
        <w:jc w:val="left"/>
        <w:rPr>
          <w:rFonts w:ascii="'Times New Roman'" w:hAnsi="'Times New Roman'" w:eastAsia="'Times New Roman'"/>
          <w:color w:val="ff0000"/>
          <w:sz w:val="48"/>
          <w:szCs w:val="48"/>
        </w:rPr>
      </w:pPr>
      <w:r>
        <w:rPr>
          <w:rFonts w:ascii="微软雅黑" w:hAnsi="微软雅黑" w:eastAsia="微软雅黑"/>
          <w:color w:val="000000"/>
          <w:sz w:val="24"/>
          <w:szCs w:val="24"/>
        </w:rPr>
        <w:t>"</w:t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  <w:drawing>
          <wp:inline distT="0" distB="0" distL="0" distR="0">
            <wp:extent cx="6036310" cy="2643066"/>
            <wp:effectExtent l="0" t="0" r="0" b="0"/>
            <wp:docPr id="14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36310" cy="264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  <w:drawing>
          <wp:inline distT="0" distB="0" distL="0" distR="0">
            <wp:extent cx="6036310" cy="2465044"/>
            <wp:effectExtent l="0" t="0" r="0" b="0"/>
            <wp:docPr id="15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36310" cy="246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  <w:drawing>
          <wp:inline distT="0" distB="0" distL="0" distR="0">
            <wp:extent cx="6036310" cy="3623528"/>
            <wp:effectExtent l="0" t="0" r="0" b="0"/>
            <wp:docPr id="16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36310" cy="362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  <w:drawing>
          <wp:inline distT="0" distB="0" distL="0" distR="0">
            <wp:extent cx="6036310" cy="2400376"/>
            <wp:effectExtent l="0" t="0" r="0" b="0"/>
            <wp:docPr id="17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36310" cy="240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</w:r>
    </w:p>
    <w:p>
      <w:pPr>
        <w:snapToGrid w:val="false"/>
        <w:spacing w:before="0" w:after="0" w:line="240" w:lineRule="auto"/>
        <w:ind w:left="0" w:right="0"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'Times New Roman'" w:hAnsi="'Times New Roman'" w:eastAsia="'Times New Roman'"/>
          <w:color w:val="ff0000"/>
          <w:sz w:val="48"/>
          <w:szCs w:val="48"/>
        </w:rPr>
        <w:t>7、</w:t>
      </w:r>
      <w:r>
        <w:rPr>
          <w:rFonts w:ascii="Times New Roman" w:hAnsi="Times New Roman" w:eastAsia="Times New Roman"/>
          <w:color w:val="ff0000"/>
          <w:sz w:val="48"/>
          <w:szCs w:val="48"/>
        </w:rPr>
        <w:t>审核完成后进入报销程序。</w:t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'Times New Roman'" w:hAnsi="'Times New Roman'" w:eastAsia="'Times New Roman'"/>
          <w:color w:val="000000"/>
          <w:sz w:val="48"/>
          <w:szCs w:val="48"/>
        </w:rPr>
        <w:t>报销流程</w:t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'Times New Roman'" w:hAnsi="'Times New Roman'" w:eastAsia="'Times New Roman'"/>
          <w:color w:val="000000"/>
          <w:sz w:val="48"/>
          <w:szCs w:val="48"/>
        </w:rPr>
        <w:t>审核通过后进入入账管理 显示已审核状态</w:t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  <w:drawing>
          <wp:inline distT="0" distB="0" distL="0" distR="0">
            <wp:extent cx="6036310" cy="2381376"/>
            <wp:effectExtent l="0" t="0" r="0" b="0"/>
            <wp:docPr id="18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36310" cy="238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'Times New Roman'" w:hAnsi="'Times New Roman'" w:eastAsia="'Times New Roman'"/>
          <w:color w:val="000000"/>
          <w:sz w:val="48"/>
          <w:szCs w:val="48"/>
        </w:rPr>
        <w:t>选中验收资产 点击查看</w:t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'Times New Roman'" w:hAnsi="'Times New Roman'" w:eastAsia="'Times New Roman'"/>
          <w:color w:val="000000"/>
          <w:sz w:val="48"/>
          <w:szCs w:val="48"/>
        </w:rPr>
        <w:t>打印设备验收单</w:t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  <w:drawing>
          <wp:inline distT="0" distB="0" distL="0" distR="0">
            <wp:extent cx="6036310" cy="2442437"/>
            <wp:effectExtent l="0" t="0" r="0" b="0"/>
            <wp:docPr id="19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36310" cy="244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312" w:lineRule="auto"/>
        <w:ind/>
        <w:jc w:val="left"/>
        <w:rPr>
          <w:rFonts w:ascii="'Times New Roman'" w:hAnsi="'Times New Roman'" w:eastAsia="'Times New Roman'"/>
          <w:color w:val="000000"/>
          <w:sz w:val="48"/>
          <w:szCs w:val="48"/>
        </w:rPr>
      </w:pPr>
      <w:r>
        <w:rPr>
          <w:rFonts w:ascii="'Times New Roman'" w:hAnsi="'Times New Roman'" w:eastAsia="'Times New Roman'"/>
          <w:color w:val="000000"/>
          <w:sz w:val="48"/>
          <w:szCs w:val="48"/>
        </w:rPr>
        <w:drawing>
          <wp:inline distT="0" distB="0" distL="0" distR="0">
            <wp:extent cx="6036310" cy="3968961"/>
            <wp:effectExtent l="0" t="0" r="0" b="0"/>
            <wp:docPr id="2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36310" cy="396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'Times New Roman'" w:hAnsi="'Times New Roman'" w:eastAsia="'Times New Roman'"/>
          <w:color w:val="000000"/>
          <w:sz w:val="48"/>
          <w:szCs w:val="48"/>
        </w:rPr>
        <w:t>打印资产卡片</w:t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  <w:drawing>
          <wp:inline distT="0" distB="0" distL="0" distR="0">
            <wp:extent cx="6036310" cy="3611318"/>
            <wp:effectExtent l="0" t="0" r="0" b="0"/>
            <wp:docPr id="21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36310" cy="361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  <w:drawing>
          <wp:inline distT="0" distB="0" distL="0" distR="0">
            <wp:extent cx="6036310" cy="3101143"/>
            <wp:effectExtent l="0" t="0" r="0" b="0"/>
            <wp:docPr id="22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2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36310" cy="310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312" w:lineRule="auto"/>
        <w:ind/>
        <w:jc w:val="left"/>
        <w:rPr>
          <w:rFonts w:ascii="'Times New Roman'" w:hAnsi="'Times New Roman'" w:eastAsia="'Times New Roman'"/>
          <w:color w:val="000000"/>
          <w:sz w:val="48"/>
          <w:szCs w:val="48"/>
        </w:rPr>
      </w:pPr>
      <w:r>
        <w:rPr>
          <w:rFonts w:ascii="'Times New Roman'" w:hAnsi="'Times New Roman'" w:eastAsia="'Times New Roman'"/>
          <w:color w:val="000000"/>
          <w:sz w:val="48"/>
          <w:szCs w:val="48"/>
        </w:rPr>
        <w:drawing>
          <wp:inline distT="0" distB="0" distL="0" distR="0">
            <wp:extent cx="6036310" cy="3794501"/>
            <wp:effectExtent l="0" t="0" r="0" b="0"/>
            <wp:docPr id="23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3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36310" cy="379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312" w:lineRule="auto"/>
        <w:ind/>
        <w:jc w:val="left"/>
        <w:rPr>
          <w:rFonts w:ascii="'Times New Roman'" w:hAnsi="'Times New Roman'" w:eastAsia="'Times New Roman'"/>
          <w:color w:val="FF0000"/>
          <w:sz w:val="48"/>
          <w:szCs w:val="48"/>
        </w:rPr>
      </w:pPr>
      <w:r>
        <w:rPr>
          <w:rFonts w:ascii="'Times New Roman'" w:hAnsi="'Times New Roman'" w:eastAsia="'Times New Roman'"/>
          <w:color w:val="FF0000"/>
          <w:sz w:val="48"/>
          <w:szCs w:val="48"/>
        </w:rPr>
        <w:t>如打印同一型号多批量设备</w:t>
      </w:r>
    </w:p>
    <w:p>
      <w:pPr>
        <w:snapToGrid w:val="false"/>
        <w:spacing w:before="0" w:after="0" w:line="312" w:lineRule="auto"/>
        <w:ind/>
        <w:jc w:val="left"/>
        <w:rPr>
          <w:rFonts w:ascii="'Times New Roman'" w:hAnsi="'Times New Roman'" w:eastAsia="'Times New Roman'"/>
          <w:color w:val="FF0000"/>
          <w:sz w:val="48"/>
          <w:szCs w:val="48"/>
        </w:rPr>
      </w:pPr>
      <w:r>
        <w:rPr>
          <w:rFonts w:ascii="'Times New Roman'" w:hAnsi="'Times New Roman'" w:eastAsia="'Times New Roman'"/>
          <w:color w:val="FF0000"/>
          <w:sz w:val="48"/>
          <w:szCs w:val="48"/>
        </w:rPr>
        <w:t>应将设备验收单中的资产</w:t>
      </w:r>
      <w:r>
        <w:rPr>
          <w:rFonts w:ascii="'Times New Roman'" w:hAnsi="'Times New Roman'" w:eastAsia="'Times New Roman'"/>
          <w:color w:val="0188fb"/>
          <w:sz w:val="48"/>
          <w:szCs w:val="48"/>
        </w:rPr>
        <w:t>选中为灰色</w:t>
      </w:r>
    </w:p>
    <w:p>
      <w:pPr>
        <w:snapToGrid w:val="false"/>
        <w:spacing w:before="0" w:after="0" w:line="312" w:lineRule="auto"/>
        <w:ind/>
        <w:jc w:val="left"/>
        <w:rPr>
          <w:rFonts w:ascii="'Times New Roman'" w:hAnsi="'Times New Roman'" w:eastAsia="'Times New Roman'"/>
          <w:color w:val="FF0000"/>
          <w:sz w:val="48"/>
          <w:szCs w:val="48"/>
        </w:rPr>
      </w:pPr>
      <w:r>
        <w:rPr>
          <w:rFonts w:ascii="'Times New Roman'" w:hAnsi="'Times New Roman'" w:eastAsia="'Times New Roman'"/>
          <w:color w:val="FF0000"/>
          <w:sz w:val="48"/>
          <w:szCs w:val="48"/>
        </w:rPr>
        <w:t>再点击上方资产查看资产 打印同批次的资产卡片</w:t>
      </w:r>
    </w:p>
    <w:p>
      <w:pPr>
        <w:snapToGrid w:val="false"/>
        <w:spacing w:before="0" w:after="0" w:line="312" w:lineRule="auto"/>
        <w:ind/>
        <w:jc w:val="left"/>
        <w:rPr>
          <w:rFonts w:ascii="'Times New Roman'" w:hAnsi="'Times New Roman'" w:eastAsia="'Times New Roman'"/>
          <w:color w:val="000000"/>
          <w:sz w:val="48"/>
          <w:szCs w:val="48"/>
        </w:rPr>
      </w:pPr>
      <w:r>
        <w:rPr>
          <w:rFonts w:ascii="'Times New Roman'" w:hAnsi="'Times New Roman'" w:eastAsia="'Times New Roman'"/>
          <w:color w:val="000000"/>
          <w:sz w:val="48"/>
          <w:szCs w:val="48"/>
        </w:rPr>
      </w:r>
    </w:p>
    <w:p>
      <w:pPr>
        <w:snapToGrid w:val="false"/>
        <w:spacing w:before="0" w:after="0" w:line="312" w:lineRule="auto"/>
        <w:ind/>
        <w:jc w:val="left"/>
        <w:rPr>
          <w:rFonts w:ascii="'Times New Roman'" w:hAnsi="'Times New Roman'" w:eastAsia="'Times New Roman'"/>
          <w:color w:val="000000"/>
          <w:sz w:val="48"/>
          <w:szCs w:val="48"/>
        </w:rPr>
      </w:pPr>
      <w:r>
        <w:rPr>
          <w:rFonts w:ascii="'Times New Roman'" w:hAnsi="'Times New Roman'" w:eastAsia="'Times New Roman'"/>
          <w:color w:val="000000"/>
          <w:sz w:val="48"/>
          <w:szCs w:val="48"/>
        </w:rPr>
        <w:drawing>
          <wp:inline distT="0" distB="0" distL="0" distR="0">
            <wp:extent cx="6036310" cy="4151216"/>
            <wp:effectExtent l="0" t="0" r="0" b="0"/>
            <wp:docPr id="24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4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36310" cy="415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312" w:lineRule="auto"/>
        <w:ind/>
        <w:jc w:val="left"/>
        <w:rPr>
          <w:rFonts w:ascii="'Times New Roman'" w:hAnsi="'Times New Roman'" w:eastAsia="'Times New Roman'"/>
          <w:color w:val="000000"/>
          <w:sz w:val="48"/>
          <w:szCs w:val="48"/>
        </w:rPr>
      </w:pPr>
      <w:r>
        <w:rPr>
          <w:rFonts w:ascii="'Times New Roman'" w:hAnsi="'Times New Roman'" w:eastAsia="'Times New Roman'"/>
          <w:color w:val="000000"/>
          <w:sz w:val="48"/>
          <w:szCs w:val="48"/>
        </w:rPr>
        <w:drawing>
          <wp:inline distT="0" distB="0" distL="0" distR="0">
            <wp:extent cx="6036310" cy="3794953"/>
            <wp:effectExtent l="0" t="0" r="0" b="0"/>
            <wp:docPr id="25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5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36310" cy="379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'Times New Roman'" w:hAnsi="'Times New Roman'" w:eastAsia="'Times New Roman'"/>
          <w:color w:val="000000"/>
          <w:sz w:val="48"/>
          <w:szCs w:val="48"/>
        </w:rPr>
        <w:t>进入信息门户|——财务系统进行资产报销</w:t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  <w:drawing>
          <wp:inline distT="0" distB="0" distL="0" distR="0">
            <wp:extent cx="6036310" cy="3197235"/>
            <wp:effectExtent l="0" t="0" r="0" b="0"/>
            <wp:docPr id="26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6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36310" cy="319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</w:r>
    </w:p>
    <w:p>
      <w:pPr>
        <w:snapToGrid w:val="false"/>
        <w:spacing w:before="0" w:after="0" w:line="312" w:lineRule="auto"/>
        <w:ind/>
        <w:jc w:val="left"/>
        <w:rPr>
          <w:rFonts w:ascii="'Times New Roman'" w:hAnsi="'Times New Roman'" w:eastAsia="'Times New Roman'"/>
          <w:color w:val="000000"/>
          <w:sz w:val="48"/>
          <w:szCs w:val="48"/>
        </w:rPr>
      </w:pPr>
      <w:r>
        <w:rPr>
          <w:rFonts w:ascii="'Times New Roman'" w:hAnsi="'Times New Roman'" w:eastAsia="'Times New Roman'"/>
          <w:color w:val="000000"/>
          <w:sz w:val="48"/>
          <w:szCs w:val="48"/>
        </w:rPr>
        <w:drawing>
          <wp:inline distT="0" distB="0" distL="0" distR="0">
            <wp:extent cx="6036310" cy="3681102"/>
            <wp:effectExtent l="0" t="0" r="0" b="0"/>
            <wp:docPr id="27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7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36310" cy="368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'Times New Roman'" w:hAnsi="'Times New Roman'" w:eastAsia="'Times New Roman'"/>
          <w:color w:val="000000"/>
          <w:sz w:val="48"/>
          <w:szCs w:val="48"/>
        </w:rPr>
        <w:t>点击新业务</w:t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  <w:drawing>
          <wp:inline distT="0" distB="0" distL="0" distR="0">
            <wp:extent cx="6036310" cy="3271121"/>
            <wp:effectExtent l="0" t="0" r="0" b="0"/>
            <wp:docPr id="28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8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36310" cy="327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'Times New Roman'" w:hAnsi="'Times New Roman'" w:eastAsia="'Times New Roman'"/>
          <w:color w:val="000000"/>
          <w:sz w:val="48"/>
          <w:szCs w:val="48"/>
        </w:rPr>
        <w:t>输入验收单上的验收单号 查找入账设备</w:t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  <w:drawing>
          <wp:inline distT="0" distB="0" distL="0" distR="0">
            <wp:extent cx="6036310" cy="3558980"/>
            <wp:effectExtent l="0" t="0" r="0" b="0"/>
            <wp:docPr id="29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9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36310" cy="355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312" w:lineRule="auto"/>
        <w:ind/>
        <w:jc w:val="left"/>
        <w:rPr>
          <w:rFonts w:ascii="'Times New Roman'" w:hAnsi="'Times New Roman'" w:eastAsia="'Times New Roman'"/>
          <w:color w:val="000000"/>
          <w:sz w:val="48"/>
          <w:szCs w:val="48"/>
        </w:rPr>
      </w:pPr>
      <w:r>
        <w:rPr>
          <w:rFonts w:ascii="'Times New Roman'" w:hAnsi="'Times New Roman'" w:eastAsia="'Times New Roman'"/>
          <w:color w:val="000000"/>
          <w:sz w:val="48"/>
          <w:szCs w:val="48"/>
        </w:rPr>
        <w:t>检索到验收单号后 输入附件数量</w:t>
      </w:r>
    </w:p>
    <w:p>
      <w:pPr>
        <w:snapToGrid w:val="false"/>
        <w:spacing w:before="0" w:after="0" w:line="312" w:lineRule="auto"/>
        <w:ind/>
        <w:jc w:val="left"/>
        <w:rPr>
          <w:rFonts w:ascii="'Times New Roman'" w:hAnsi="'Times New Roman'" w:eastAsia="'Times New Roman'"/>
          <w:color w:val="000000"/>
          <w:sz w:val="48"/>
          <w:szCs w:val="48"/>
        </w:rPr>
      </w:pPr>
      <w:r>
        <w:rPr>
          <w:rFonts w:ascii="'Times New Roman'" w:hAnsi="'Times New Roman'" w:eastAsia="'Times New Roman'"/>
          <w:color w:val="000000"/>
          <w:sz w:val="48"/>
          <w:szCs w:val="48"/>
        </w:rPr>
      </w:r>
    </w:p>
    <w:p>
      <w:pPr>
        <w:snapToGrid w:val="false"/>
        <w:spacing w:before="0" w:after="0" w:line="312" w:lineRule="auto"/>
        <w:ind/>
        <w:jc w:val="left"/>
        <w:rPr>
          <w:rFonts w:ascii="'Times New Roman'" w:hAnsi="'Times New Roman'" w:eastAsia="'Times New Roman'"/>
          <w:color w:val="0188fb"/>
          <w:sz w:val="48"/>
          <w:szCs w:val="48"/>
        </w:rPr>
      </w:pPr>
      <w:r>
        <w:rPr>
          <w:rFonts w:ascii="'Times New Roman'" w:hAnsi="'Times New Roman'" w:eastAsia="'Times New Roman'"/>
          <w:color w:val="000000"/>
          <w:sz w:val="48"/>
          <w:szCs w:val="48"/>
        </w:rPr>
        <w:t>如果提示</w:t>
      </w:r>
      <w:r>
        <w:rPr>
          <w:rFonts w:ascii="'Times New Roman'" w:hAnsi="'Times New Roman'" w:eastAsia="'Times New Roman'"/>
          <w:color w:val="0188fb"/>
          <w:sz w:val="48"/>
          <w:szCs w:val="48"/>
        </w:rPr>
        <w:t xml:space="preserve"> 经费异常 </w:t>
      </w:r>
    </w:p>
    <w:p>
      <w:pPr>
        <w:snapToGrid w:val="false"/>
        <w:spacing w:before="0" w:after="0" w:line="312" w:lineRule="auto"/>
        <w:ind/>
        <w:jc w:val="left"/>
        <w:rPr>
          <w:rFonts w:ascii="'Times New Roman'" w:hAnsi="'Times New Roman'" w:eastAsia="'Times New Roman'"/>
          <w:color w:val="ff0000"/>
          <w:sz w:val="48"/>
          <w:szCs w:val="48"/>
        </w:rPr>
      </w:pPr>
      <w:r>
        <w:rPr>
          <w:rFonts w:ascii="'Times New Roman'" w:hAnsi="'Times New Roman'" w:eastAsia="'Times New Roman'"/>
          <w:color w:val="ff0000"/>
          <w:sz w:val="48"/>
          <w:szCs w:val="48"/>
        </w:rPr>
        <w:t>请在资产系统内 入账管理——经费确认 点击绿色的保存按钮后，再点击白色刷新按钮</w:t>
      </w:r>
    </w:p>
    <w:p>
      <w:pPr>
        <w:snapToGrid w:val="false"/>
        <w:spacing w:before="0" w:after="0" w:line="312" w:lineRule="auto"/>
        <w:ind/>
        <w:jc w:val="left"/>
        <w:rPr>
          <w:rFonts w:ascii="'Times New Roman'" w:hAnsi="'Times New Roman'" w:eastAsia="'Times New Roman'"/>
          <w:color w:val="ff0000"/>
          <w:sz w:val="48"/>
          <w:szCs w:val="48"/>
        </w:rPr>
      </w:pPr>
      <w:r>
        <w:rPr>
          <w:rFonts w:ascii="'Times New Roman'" w:hAnsi="'Times New Roman'" w:eastAsia="'Times New Roman'"/>
          <w:color w:val="ff0000"/>
          <w:sz w:val="48"/>
          <w:szCs w:val="48"/>
        </w:rPr>
        <w:t xml:space="preserve">确保数据成功写入  </w:t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</w:r>
    </w:p>
    <w:p>
      <w:pPr>
        <w:snapToGrid w:val="false"/>
        <w:spacing w:before="0" w:after="0" w:line="312" w:lineRule="auto"/>
        <w:ind/>
        <w:jc w:val="left"/>
        <w:rPr>
          <w:rFonts w:ascii="'Times New Roman'" w:hAnsi="'Times New Roman'" w:eastAsia="'Times New Roman'"/>
          <w:color w:val="000000"/>
          <w:sz w:val="48"/>
          <w:szCs w:val="48"/>
        </w:rPr>
      </w:pPr>
      <w:r>
        <w:rPr>
          <w:rFonts w:ascii="'Times New Roman'" w:hAnsi="'Times New Roman'" w:eastAsia="'Times New Roman'"/>
          <w:color w:val="000000"/>
          <w:sz w:val="48"/>
          <w:szCs w:val="48"/>
        </w:rPr>
        <w:drawing>
          <wp:inline distT="0" distB="0" distL="0" distR="0">
            <wp:extent cx="6036310" cy="2499409"/>
            <wp:effectExtent l="0" t="0" r="0" b="0"/>
            <wp:docPr id="3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3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36310" cy="249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312" w:lineRule="auto"/>
        <w:ind/>
        <w:jc w:val="left"/>
        <w:rPr>
          <w:rFonts w:ascii="'Times New Roman'" w:hAnsi="'Times New Roman'" w:eastAsia="'Times New Roman'"/>
          <w:color w:val="000000"/>
          <w:sz w:val="48"/>
          <w:szCs w:val="48"/>
        </w:rPr>
      </w:pPr>
      <w:r>
        <w:rPr>
          <w:rFonts w:ascii="'Times New Roman'" w:hAnsi="'Times New Roman'" w:eastAsia="'Times New Roman'"/>
          <w:color w:val="000000"/>
          <w:sz w:val="48"/>
          <w:szCs w:val="48"/>
        </w:rPr>
      </w:r>
    </w:p>
    <w:p>
      <w:pPr>
        <w:snapToGrid w:val="false"/>
        <w:spacing w:before="0" w:after="0" w:line="312" w:lineRule="auto"/>
        <w:ind/>
        <w:jc w:val="left"/>
        <w:rPr>
          <w:rFonts w:ascii="'Times New Roman'" w:hAnsi="'Times New Roman'" w:eastAsia="'Times New Roman'"/>
          <w:color w:val="000000"/>
          <w:sz w:val="48"/>
          <w:szCs w:val="48"/>
        </w:rPr>
      </w:pPr>
      <w:r>
        <w:rPr>
          <w:rFonts w:ascii="'Times New Roman'" w:hAnsi="'Times New Roman'" w:eastAsia="'Times New Roman'"/>
          <w:color w:val="000000"/>
          <w:sz w:val="48"/>
          <w:szCs w:val="48"/>
        </w:rPr>
        <w:t>点击下一步后进入支付环节</w:t>
      </w:r>
    </w:p>
    <w:p>
      <w:pPr>
        <w:snapToGrid w:val="false"/>
        <w:spacing w:before="0" w:after="0" w:line="312" w:lineRule="auto"/>
        <w:ind/>
        <w:jc w:val="left"/>
        <w:rPr>
          <w:rFonts w:ascii="'Times New Roman'" w:hAnsi="'Times New Roman'" w:eastAsia="'Times New Roman'"/>
          <w:color w:val="FF0000"/>
          <w:sz w:val="48"/>
          <w:szCs w:val="48"/>
        </w:rPr>
      </w:pPr>
      <w:r>
        <w:rPr>
          <w:rFonts w:ascii="'Times New Roman'" w:hAnsi="'Times New Roman'" w:eastAsia="'Times New Roman'"/>
          <w:color w:val="FF0000"/>
          <w:sz w:val="48"/>
          <w:szCs w:val="48"/>
        </w:rPr>
        <w:t>如报销款支付至资产供应商，应选择</w:t>
      </w:r>
      <w:r>
        <w:rPr>
          <w:rFonts w:ascii="'Times New Roman'" w:hAnsi="'Times New Roman'" w:eastAsia="'Times New Roman'"/>
          <w:color w:val="0188fb"/>
          <w:sz w:val="48"/>
          <w:szCs w:val="48"/>
        </w:rPr>
        <w:t>对公支付</w:t>
      </w:r>
      <w:r>
        <w:rPr>
          <w:rFonts w:ascii="'Times New Roman'" w:hAnsi="'Times New Roman'" w:eastAsia="'Times New Roman'"/>
          <w:color w:val="FF0000"/>
          <w:sz w:val="48"/>
          <w:szCs w:val="48"/>
        </w:rPr>
        <w:t>，点击对方单位后的蓝色问号，检索付款单位信息。填写附言及金额后点击下一步。</w:t>
      </w:r>
    </w:p>
    <w:p>
      <w:pPr>
        <w:snapToGrid w:val="false"/>
        <w:spacing w:before="0" w:after="0" w:line="312" w:lineRule="auto"/>
        <w:ind/>
        <w:jc w:val="left"/>
        <w:rPr>
          <w:rFonts w:ascii="'Times New Roman'" w:hAnsi="'Times New Roman'" w:eastAsia="'Times New Roman'"/>
          <w:color w:val="FF0000"/>
          <w:sz w:val="48"/>
          <w:szCs w:val="48"/>
        </w:rPr>
      </w:pPr>
      <w:r>
        <w:rPr>
          <w:rFonts w:ascii="'Times New Roman'" w:hAnsi="'Times New Roman'" w:eastAsia="'Times New Roman'"/>
          <w:color w:val="FF0000"/>
          <w:sz w:val="48"/>
          <w:szCs w:val="48"/>
        </w:rPr>
      </w:r>
    </w:p>
    <w:p>
      <w:pPr>
        <w:snapToGrid w:val="false"/>
        <w:spacing w:before="0" w:after="0" w:line="312" w:lineRule="auto"/>
        <w:ind/>
        <w:jc w:val="left"/>
        <w:rPr>
          <w:rFonts w:ascii="'Times New Roman'" w:hAnsi="'Times New Roman'" w:eastAsia="'Times New Roman'"/>
          <w:color w:val="FF0000"/>
          <w:sz w:val="48"/>
          <w:szCs w:val="48"/>
        </w:rPr>
      </w:pPr>
      <w:r>
        <w:rPr>
          <w:rFonts w:ascii="'Times New Roman'" w:hAnsi="'Times New Roman'" w:eastAsia="'Times New Roman'"/>
          <w:color w:val="FF0000"/>
          <w:sz w:val="48"/>
          <w:szCs w:val="48"/>
        </w:rPr>
        <w:t>如对私支付至个人公务卡或工资卡，点击</w:t>
      </w:r>
      <w:r>
        <w:rPr>
          <w:rFonts w:ascii="'Times New Roman'" w:hAnsi="'Times New Roman'" w:eastAsia="'Times New Roman'"/>
          <w:color w:val="0188fb"/>
          <w:sz w:val="48"/>
          <w:szCs w:val="48"/>
        </w:rPr>
        <w:t>对私支付</w:t>
      </w:r>
      <w:r>
        <w:rPr>
          <w:rFonts w:ascii="'Times New Roman'" w:hAnsi="'Times New Roman'" w:eastAsia="'Times New Roman'"/>
          <w:color w:val="FF0000"/>
          <w:sz w:val="48"/>
          <w:szCs w:val="48"/>
        </w:rPr>
        <w:t>。输入工号或姓名及金额后点击下一步。</w:t>
      </w:r>
    </w:p>
    <w:p>
      <w:pPr>
        <w:snapToGrid w:val="false"/>
        <w:spacing w:before="0" w:after="0" w:line="312" w:lineRule="auto"/>
        <w:ind/>
        <w:jc w:val="left"/>
        <w:rPr>
          <w:rFonts w:ascii="'Times New Roman'" w:hAnsi="'Times New Roman'" w:eastAsia="'Times New Roman'"/>
          <w:color w:val="FF0000"/>
          <w:sz w:val="48"/>
          <w:szCs w:val="48"/>
        </w:rPr>
      </w:pPr>
      <w:r>
        <w:rPr>
          <w:rFonts w:ascii="'Times New Roman'" w:hAnsi="'Times New Roman'" w:eastAsia="'Times New Roman'"/>
          <w:color w:val="FF0000"/>
          <w:sz w:val="48"/>
          <w:szCs w:val="48"/>
        </w:rPr>
      </w:r>
    </w:p>
    <w:p>
      <w:pPr>
        <w:snapToGrid w:val="false"/>
        <w:spacing w:before="0" w:after="0" w:line="312" w:lineRule="auto"/>
        <w:ind/>
        <w:jc w:val="left"/>
        <w:rPr>
          <w:rFonts w:ascii="'Times New Roman'" w:hAnsi="'Times New Roman'" w:eastAsia="'Times New Roman'"/>
          <w:color w:val="FF0000"/>
          <w:sz w:val="48"/>
          <w:szCs w:val="48"/>
        </w:rPr>
      </w:pPr>
      <w:r>
        <w:rPr>
          <w:rFonts w:ascii="'Times New Roman'" w:hAnsi="'Times New Roman'" w:eastAsia="'Times New Roman'"/>
          <w:color w:val="FF0000"/>
          <w:sz w:val="48"/>
          <w:szCs w:val="48"/>
        </w:rPr>
        <w:drawing>
          <wp:inline distT="0" distB="0" distL="0" distR="0">
            <wp:extent cx="6036310" cy="6131438"/>
            <wp:effectExtent l="0" t="0" r="0" b="0"/>
            <wp:docPr id="31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3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36310" cy="613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312" w:lineRule="auto"/>
        <w:ind/>
        <w:jc w:val="left"/>
        <w:rPr>
          <w:rFonts w:ascii="'Times New Roman'" w:hAnsi="'Times New Roman'" w:eastAsia="'Times New Roman'"/>
          <w:color w:val="FF0000"/>
          <w:sz w:val="48"/>
          <w:szCs w:val="48"/>
        </w:rPr>
      </w:pPr>
      <w:r>
        <w:rPr>
          <w:rFonts w:ascii="'Times New Roman'" w:hAnsi="'Times New Roman'" w:eastAsia="'Times New Roman'"/>
          <w:color w:val="FF0000"/>
          <w:sz w:val="48"/>
          <w:szCs w:val="48"/>
        </w:rPr>
        <w:t>打印界面请检查是否包含项目信息及对公、对私支付信息，如信息完整后可进行报销。</w:t>
      </w:r>
    </w:p>
    <w:p>
      <w:pPr>
        <w:snapToGrid w:val="false"/>
        <w:spacing w:before="0" w:after="0" w:line="312" w:lineRule="auto"/>
        <w:ind/>
        <w:jc w:val="left"/>
        <w:rPr>
          <w:rFonts w:ascii="'Times New Roman'" w:hAnsi="'Times New Roman'" w:eastAsia="'Times New Roman'"/>
          <w:color w:val="FF0000"/>
          <w:sz w:val="48"/>
          <w:szCs w:val="48"/>
        </w:rPr>
      </w:pPr>
      <w:r>
        <w:rPr>
          <w:rFonts w:ascii="'Times New Roman'" w:hAnsi="'Times New Roman'" w:eastAsia="'Times New Roman'"/>
          <w:color w:val="FF0000"/>
          <w:sz w:val="48"/>
          <w:szCs w:val="48"/>
        </w:rPr>
      </w:r>
    </w:p>
    <w:p>
      <w:pPr>
        <w:snapToGrid w:val="false"/>
        <w:spacing w:before="0" w:after="0" w:line="312" w:lineRule="auto"/>
        <w:ind/>
        <w:jc w:val="left"/>
        <w:rPr>
          <w:rFonts w:ascii="'Times New Roman'" w:hAnsi="'Times New Roman'" w:eastAsia="'Times New Roman'"/>
          <w:color w:val="FF0000"/>
          <w:sz w:val="48"/>
          <w:szCs w:val="48"/>
        </w:rPr>
      </w:pPr>
      <w:r>
        <w:rPr>
          <w:rFonts w:ascii="'Times New Roman'" w:hAnsi="'Times New Roman'" w:eastAsia="'Times New Roman'"/>
          <w:color w:val="FF0000"/>
          <w:sz w:val="48"/>
          <w:szCs w:val="48"/>
        </w:rPr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</w:r>
    </w:p>
    <w:p>
      <w:pPr>
        <w:snapToGrid w:val="false"/>
        <w:spacing w:before="0" w:after="0" w:line="312" w:lineRule="auto"/>
        <w:ind/>
        <w:jc w:val="left"/>
        <w:rPr>
          <w:rFonts w:ascii="'Times New Roman'" w:hAnsi="'Times New Roman'" w:eastAsia="'Times New Roman'"/>
          <w:color w:val="000000"/>
          <w:sz w:val="48"/>
          <w:szCs w:val="48"/>
        </w:rPr>
      </w:pPr>
      <w:r>
        <w:rPr>
          <w:rFonts w:ascii="'Times New Roman'" w:hAnsi="'Times New Roman'" w:eastAsia="'Times New Roman'"/>
          <w:color w:val="000000"/>
          <w:sz w:val="48"/>
          <w:szCs w:val="48"/>
        </w:rPr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</w:r>
    </w:p>
    <w:p>
      <w:pPr>
        <w:snapToGrid w:val="false"/>
        <w:spacing w:before="0" w:after="0" w:line="312" w:lineRule="auto"/>
        <w:ind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</w:r>
    </w:p>
    <w:sectPr w:rsidR="00C604EC">
      <w:pgSz w:w="11906" w:h="16838"/>
      <w:pgMar w:top="1500" w:right="1200" w:bottom="1500" w:left="12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37D43"/>
    <w:multiLevelType w:val="multilevel"/>
    <w:tmpl w:val="1E537D43"/>
    <w:lvl w:ilvl="0">
      <w:start w:val="1"/>
      <w:numFmt w:val="bullet"/>
      <w:lvlText w:val="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"/>
      <w:lvlJc w:val="left"/>
      <w:pPr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"/>
      <w:lvlJc w:val="left"/>
      <w:pPr>
        <w:ind w:left="907" w:hanging="227"/>
      </w:pPr>
      <w:rPr>
        <w:rFonts w:ascii="Wingdings" w:hAnsi="Wingdings" w:hint="default"/>
      </w:rPr>
    </w:lvl>
    <w:lvl w:ilvl="3">
      <w:start w:val="1"/>
      <w:numFmt w:val="bullet"/>
      <w:lvlText w:val=""/>
      <w:lvlJc w:val="left"/>
      <w:pPr>
        <w:ind w:left="1247" w:hanging="227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587" w:hanging="227"/>
      </w:pPr>
      <w:rPr>
        <w:rFonts w:ascii="Wingdings" w:hAnsi="Wingdings" w:hint="default"/>
      </w:rPr>
    </w:lvl>
    <w:lvl w:ilvl="5">
      <w:start w:val="1"/>
      <w:numFmt w:val="bullet"/>
      <w:lvlText w:val=""/>
      <w:lvlJc w:val="left"/>
      <w:pPr>
        <w:ind w:left="1927" w:hanging="227"/>
      </w:pPr>
      <w:rPr>
        <w:rFonts w:ascii="Wingdings" w:hAnsi="Wingdings" w:hint="default"/>
      </w:rPr>
    </w:lvl>
    <w:lvl w:ilvl="6">
      <w:start w:val="1"/>
      <w:numFmt w:val="bullet"/>
      <w:lvlText w:val=""/>
      <w:lvlJc w:val="left"/>
      <w:pPr>
        <w:ind w:left="2267" w:hanging="227"/>
      </w:pPr>
      <w:rPr>
        <w:rFonts w:ascii="Wingdings" w:hAnsi="Wingdings" w:hint="default"/>
      </w:rPr>
    </w:lvl>
    <w:lvl w:ilvl="7">
      <w:start w:val="1"/>
      <w:numFmt w:val="bullet"/>
      <w:lvlText w:val=""/>
      <w:lvlJc w:val="left"/>
      <w:pPr>
        <w:ind w:left="2607" w:hanging="227"/>
      </w:pPr>
      <w:rPr>
        <w:rFonts w:ascii="Wingdings" w:hAnsi="Wingdings" w:hint="default"/>
      </w:rPr>
    </w:lvl>
    <w:lvl w:ilvl="8">
      <w:start w:val="1"/>
      <w:numFmt w:val="bullet"/>
      <w:lvlText w:val=""/>
      <w:lvlJc w:val="left"/>
      <w:pPr>
        <w:ind w:left="2947" w:hanging="227"/>
      </w:pPr>
      <w:rPr>
        <w:rFonts w:ascii="Wingdings" w:hAnsi="Wingdings" w:hint="default"/>
      </w:rPr>
    </w:lvl>
  </w:abstractNum>
  <w:abstractNum w:abstractNumId="1" w15:restartNumberingAfterBreak="0">
    <w:nsid w:val="323C7824"/>
    <w:multiLevelType w:val="multilevel"/>
    <w:tmpl w:val="323C7824"/>
    <w:lvl w:ilvl="0">
      <w:start w:val="1"/>
      <w:numFmt w:val="bullet"/>
      <w:lvlText w:val="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"/>
      <w:lvlJc w:val="left"/>
      <w:pPr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"/>
      <w:lvlJc w:val="left"/>
      <w:pPr>
        <w:ind w:left="907" w:hanging="227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247" w:hanging="227"/>
      </w:pPr>
      <w:rPr>
        <w:rFonts w:ascii="Wingdings" w:hAnsi="Wingdings" w:hint="default"/>
      </w:rPr>
    </w:lvl>
    <w:lvl w:ilvl="4">
      <w:start w:val="1"/>
      <w:numFmt w:val="bullet"/>
      <w:lvlText w:val=""/>
      <w:lvlJc w:val="left"/>
      <w:pPr>
        <w:ind w:left="1587" w:hanging="227"/>
      </w:pPr>
      <w:rPr>
        <w:rFonts w:ascii="Wingdings" w:hAnsi="Wingdings" w:hint="default"/>
      </w:rPr>
    </w:lvl>
    <w:lvl w:ilvl="5">
      <w:start w:val="1"/>
      <w:numFmt w:val="bullet"/>
      <w:lvlText w:val=""/>
      <w:lvlJc w:val="left"/>
      <w:pPr>
        <w:ind w:left="1927" w:hanging="227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267" w:hanging="227"/>
      </w:pPr>
      <w:rPr>
        <w:rFonts w:ascii="Wingdings" w:hAnsi="Wingdings" w:hint="default"/>
      </w:rPr>
    </w:lvl>
    <w:lvl w:ilvl="7">
      <w:start w:val="1"/>
      <w:numFmt w:val="bullet"/>
      <w:lvlText w:val=""/>
      <w:lvlJc w:val="left"/>
      <w:pPr>
        <w:ind w:left="2607" w:hanging="227"/>
      </w:pPr>
      <w:rPr>
        <w:rFonts w:ascii="Wingdings" w:hAnsi="Wingdings" w:hint="default"/>
      </w:rPr>
    </w:lvl>
    <w:lvl w:ilvl="8">
      <w:start w:val="1"/>
      <w:numFmt w:val="bullet"/>
      <w:lvlText w:val=""/>
      <w:lvlJc w:val="left"/>
      <w:pPr>
        <w:ind w:left="2947" w:hanging="227"/>
      </w:pPr>
      <w:rPr>
        <w:rFonts w:ascii="Wingdings" w:hAnsi="Wingdings" w:hint="default"/>
      </w:rPr>
    </w:lvl>
  </w:abstractNum>
  <w:abstractNum w:abstractNumId="2" w15:restartNumberingAfterBreak="0">
    <w:nsid w:val="513362E4"/>
    <w:multiLevelType w:val="multilevel"/>
    <w:tmpl w:val="513362E4"/>
    <w:lvl w:ilvl="0">
      <w:start w:val="1"/>
      <w:numFmt w:val="bullet"/>
      <w:lvlText w:val="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"/>
      <w:lvlJc w:val="left"/>
      <w:pPr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"/>
      <w:lvlJc w:val="left"/>
      <w:pPr>
        <w:ind w:left="907" w:hanging="227"/>
      </w:pPr>
      <w:rPr>
        <w:rFonts w:ascii="Wingdings" w:hAnsi="Wingdings" w:hint="default"/>
      </w:rPr>
    </w:lvl>
    <w:lvl w:ilvl="3">
      <w:start w:val="1"/>
      <w:numFmt w:val="bullet"/>
      <w:lvlText w:val=""/>
      <w:lvlJc w:val="left"/>
      <w:pPr>
        <w:ind w:left="1247" w:hanging="227"/>
      </w:pPr>
      <w:rPr>
        <w:rFonts w:ascii="Wingdings" w:hAnsi="Wingdings" w:hint="default"/>
      </w:rPr>
    </w:lvl>
    <w:lvl w:ilvl="4">
      <w:start w:val="1"/>
      <w:numFmt w:val="bullet"/>
      <w:lvlText w:val=""/>
      <w:lvlJc w:val="left"/>
      <w:pPr>
        <w:ind w:left="1587" w:hanging="227"/>
      </w:pPr>
      <w:rPr>
        <w:rFonts w:ascii="Wingdings" w:hAnsi="Wingdings" w:hint="default"/>
      </w:rPr>
    </w:lvl>
    <w:lvl w:ilvl="5">
      <w:start w:val="1"/>
      <w:numFmt w:val="bullet"/>
      <w:lvlText w:val=""/>
      <w:lvlJc w:val="left"/>
      <w:pPr>
        <w:ind w:left="1927" w:hanging="227"/>
      </w:pPr>
      <w:rPr>
        <w:rFonts w:ascii="Wingdings" w:hAnsi="Wingdings" w:hint="default"/>
      </w:rPr>
    </w:lvl>
    <w:lvl w:ilvl="6">
      <w:start w:val="1"/>
      <w:numFmt w:val="bullet"/>
      <w:lvlText w:val=""/>
      <w:lvlJc w:val="left"/>
      <w:pPr>
        <w:ind w:left="2267" w:hanging="227"/>
      </w:pPr>
      <w:rPr>
        <w:rFonts w:ascii="Wingdings" w:hAnsi="Wingdings" w:hint="default"/>
      </w:rPr>
    </w:lvl>
    <w:lvl w:ilvl="7">
      <w:start w:val="1"/>
      <w:numFmt w:val="bullet"/>
      <w:lvlText w:val=""/>
      <w:lvlJc w:val="left"/>
      <w:pPr>
        <w:ind w:left="2607" w:hanging="227"/>
      </w:pPr>
      <w:rPr>
        <w:rFonts w:ascii="Wingdings" w:hAnsi="Wingdings" w:hint="default"/>
      </w:rPr>
    </w:lvl>
    <w:lvl w:ilvl="8">
      <w:start w:val="1"/>
      <w:numFmt w:val="bullet"/>
      <w:lvlText w:val=""/>
      <w:lvlJc w:val="left"/>
      <w:pPr>
        <w:ind w:left="2947" w:hanging="227"/>
      </w:pPr>
      <w:rPr>
        <w:rFonts w:ascii="Wingdings" w:hAnsi="Wingdings" w:hint="default"/>
      </w:rPr>
    </w:lvl>
  </w:abstractNum>
  <w:abstractNum w:abstractNumId="3" w15:restartNumberingAfterBreak="0">
    <w:nsid w:val="5AA9370F"/>
    <w:multiLevelType w:val="multilevel"/>
    <w:tmpl w:val="5AA9370F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4" w15:restartNumberingAfterBreak="0">
    <w:nsid w:val="5AA93721"/>
    <w:multiLevelType w:val="multilevel"/>
    <w:tmpl w:val="5AA9372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5" w15:restartNumberingAfterBreak="0">
    <w:nsid w:val="5AA9374C"/>
    <w:multiLevelType w:val="multilevel"/>
    <w:tmpl w:val="5AA9374C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6" w15:restartNumberingAfterBreak="0">
    <w:nsid w:val="5AA93847"/>
    <w:multiLevelType w:val="multilevel"/>
    <w:tmpl w:val="5AA93847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7" w15:restartNumberingAfterBreak="0">
    <w:nsid w:val="5AA9385D"/>
    <w:multiLevelType w:val="multilevel"/>
    <w:tmpl w:val="5AA9385D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8" w15:restartNumberingAfterBreak="0">
    <w:nsid w:val="5AA93871"/>
    <w:multiLevelType w:val="multilevel"/>
    <w:tmpl w:val="5AA9387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9" w15:restartNumberingAfterBreak="0">
    <w:nsid w:val="5AA93884"/>
    <w:multiLevelType w:val="multilevel"/>
    <w:tmpl w:val="5AA9388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0" w15:restartNumberingAfterBreak="0">
    <w:nsid w:val="5AA938A6"/>
    <w:multiLevelType w:val="multilevel"/>
    <w:tmpl w:val="5AA938A6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1" w15:restartNumberingAfterBreak="0">
    <w:nsid w:val="5AA938BA"/>
    <w:multiLevelType w:val="multilevel"/>
    <w:tmpl w:val="5AA938B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2" w15:restartNumberingAfterBreak="0">
    <w:nsid w:val="5AA939C1"/>
    <w:multiLevelType w:val="multilevel"/>
    <w:tmpl w:val="5AA939C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3" w15:restartNumberingAfterBreak="0">
    <w:nsid w:val="5AA939F5"/>
    <w:multiLevelType w:val="multilevel"/>
    <w:tmpl w:val="5AA939F5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4" w15:restartNumberingAfterBreak="0">
    <w:nsid w:val="5AA93A09"/>
    <w:multiLevelType w:val="multilevel"/>
    <w:tmpl w:val="5AA93A0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5" w15:restartNumberingAfterBreak="0">
    <w:nsid w:val="5AA9DAE5"/>
    <w:multiLevelType w:val="multilevel"/>
    <w:tmpl w:val="5AA9DAE5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6" w15:restartNumberingAfterBreak="0">
    <w:nsid w:val="5AA9DAF8"/>
    <w:multiLevelType w:val="multilevel"/>
    <w:tmpl w:val="5AA9DAF8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7" w15:restartNumberingAfterBreak="0">
    <w:nsid w:val="5AA9DB09"/>
    <w:multiLevelType w:val="multilevel"/>
    <w:tmpl w:val="5AA9DB0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8" w15:restartNumberingAfterBreak="0">
    <w:nsid w:val="5AA9DB19"/>
    <w:multiLevelType w:val="multilevel"/>
    <w:tmpl w:val="5AA9DB1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9" w15:restartNumberingAfterBreak="0">
    <w:nsid w:val="5AA9DB29"/>
    <w:multiLevelType w:val="multilevel"/>
    <w:tmpl w:val="5AA9DB2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0" w15:restartNumberingAfterBreak="0">
    <w:nsid w:val="5AA9DB3A"/>
    <w:multiLevelType w:val="multilevel"/>
    <w:tmpl w:val="5AA9DB3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1" w15:restartNumberingAfterBreak="0">
    <w:nsid w:val="5AA9DB4A"/>
    <w:multiLevelType w:val="multilevel"/>
    <w:tmpl w:val="5AA9DB4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2" w15:restartNumberingAfterBreak="0">
    <w:nsid w:val="5AA9DB5A"/>
    <w:multiLevelType w:val="multilevel"/>
    <w:tmpl w:val="5AA9DB5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3" w15:restartNumberingAfterBreak="0">
    <w:nsid w:val="5AA9DC10"/>
    <w:multiLevelType w:val="multilevel"/>
    <w:tmpl w:val="5AA9DC10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4" w15:restartNumberingAfterBreak="0">
    <w:nsid w:val="5AA9DC21"/>
    <w:multiLevelType w:val="multilevel"/>
    <w:tmpl w:val="5AA9DC2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5" w15:restartNumberingAfterBreak="0">
    <w:nsid w:val="5AA9DC48"/>
    <w:multiLevelType w:val="multilevel"/>
    <w:tmpl w:val="5AA9DC48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6" w15:restartNumberingAfterBreak="0">
    <w:nsid w:val="5AA9DC59"/>
    <w:multiLevelType w:val="multilevel"/>
    <w:tmpl w:val="5AA9DC5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7" w15:restartNumberingAfterBreak="0">
    <w:nsid w:val="5AA9DD04"/>
    <w:multiLevelType w:val="multilevel"/>
    <w:tmpl w:val="5AA9DD0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8" w15:restartNumberingAfterBreak="0">
    <w:nsid w:val="5AA9DD14"/>
    <w:multiLevelType w:val="multilevel"/>
    <w:tmpl w:val="5AA9DD1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9" w15:restartNumberingAfterBreak="0">
    <w:nsid w:val="5AA9DD24"/>
    <w:multiLevelType w:val="multilevel"/>
    <w:tmpl w:val="5AA9DD2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30" w15:restartNumberingAfterBreak="0">
    <w:nsid w:val="5B4947AB"/>
    <w:multiLevelType w:val="multilevel"/>
    <w:tmpl w:val="5B4947AB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num w:numId="1">
    <w:abstractNumId w:val="3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7"/>
  </w:num>
  <w:num w:numId="7">
    <w:abstractNumId w:val="8"/>
  </w:num>
  <w:num w:numId="8">
    <w:abstractNumId w:val="9"/>
  </w:num>
  <w:num w:numId="9">
    <w:abstractNumId w:val="10"/>
  </w:num>
  <w:num w:numId="10">
    <w:abstractNumId w:val="11"/>
  </w:num>
  <w:num w:numId="11">
    <w:abstractNumId w:val="12"/>
  </w:num>
  <w:num w:numId="12">
    <w:abstractNumId w:val="13"/>
  </w:num>
  <w:num w:numId="13">
    <w:abstractNumId w:val="14"/>
  </w:num>
  <w:num w:numId="14">
    <w:abstractNumId w:val="15"/>
  </w:num>
  <w:num w:numId="15">
    <w:abstractNumId w:val="16"/>
  </w:num>
  <w:num w:numId="16">
    <w:abstractNumId w:val="17"/>
  </w:num>
  <w:num w:numId="17">
    <w:abstractNumId w:val="18"/>
  </w:num>
  <w:num w:numId="18">
    <w:abstractNumId w:val="19"/>
  </w:num>
  <w:num w:numId="19">
    <w:abstractNumId w:val="20"/>
  </w:num>
  <w:num w:numId="20">
    <w:abstractNumId w:val="21"/>
  </w:num>
  <w:num w:numId="21">
    <w:abstractNumId w:val="22"/>
  </w:num>
  <w:num w:numId="22">
    <w:abstractNumId w:val="23"/>
  </w:num>
  <w:num w:numId="23">
    <w:abstractNumId w:val="24"/>
  </w:num>
  <w:num w:numId="24">
    <w:abstractNumId w:val="25"/>
  </w:num>
  <w:num w:numId="25">
    <w:abstractNumId w:val="26"/>
  </w:num>
  <w:num w:numId="26">
    <w:abstractNumId w:val="27"/>
  </w:num>
  <w:num w:numId="27">
    <w:abstractNumId w:val="28"/>
  </w:num>
  <w:num w:numId="28">
    <w:abstractNumId w:val="29"/>
  </w:num>
  <w:num w:numId="29">
    <w:abstractNumId w:val="1"/>
  </w:num>
  <w:num w:numId="30">
    <w:abstractNumId w:val="2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C1A"/>
    <w:rsid w:val="000C51B7"/>
    <w:rsid w:val="00216EB9"/>
    <w:rsid w:val="0059531B"/>
    <w:rsid w:val="00616505"/>
    <w:rsid w:val="0062213C"/>
    <w:rsid w:val="00633F40"/>
    <w:rsid w:val="006549AD"/>
    <w:rsid w:val="00684D9C"/>
    <w:rsid w:val="00A60633"/>
    <w:rsid w:val="00BA0C1A"/>
    <w:rsid w:val="00C061CB"/>
    <w:rsid w:val="00C604EC"/>
    <w:rsid w:val="00E26251"/>
    <w:rsid w:val="00EA1EE8"/>
    <w:rsid w:val="00F53662"/>
    <w:rsid w:val="083D07F0"/>
    <w:rsid w:val="105E3B74"/>
    <w:rsid w:val="1C2C4424"/>
    <w:rsid w:val="1CD54CE6"/>
    <w:rsid w:val="1DEC38DC"/>
    <w:rsid w:val="30456175"/>
    <w:rsid w:val="36772279"/>
    <w:rsid w:val="434067C1"/>
    <w:rsid w:val="568D20C3"/>
    <w:rsid w:val="6EAF13B0"/>
    <w:rsid w:val="71061E72"/>
    <w:rsid w:val="7A3B2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white"/>
    </o:shapedefaults>
    <o:shapelayout v:ext="edit">
      <o:idmap v:ext="edit" data="1"/>
    </o:shapelayout>
  </w:shapeDefaults>
  <w:decimalSymbol w:val="."/>
  <w:listSeparator w:val=","/>
  <w15:docId w15:val="{20DE070A-6068-41E9-B520-D45B669F5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<Relationships xmlns="http://schemas.openxmlformats.org/package/2006/relationships"><Relationship Target="theme/theme1.xml" Type="http://schemas.openxmlformats.org/officeDocument/2006/relationships/theme" Id="rId8"/><Relationship Target="numbering.xml" Type="http://schemas.openxmlformats.org/officeDocument/2006/relationships/numbering" Id="rId3"/><Relationship Target="fontTable.xml" Type="http://schemas.openxmlformats.org/officeDocument/2006/relationships/fontTable" Id="rId7"/><Relationship Target="../customXml/item2.xml" Type="http://schemas.openxmlformats.org/officeDocument/2006/relationships/customXml" Id="rId2"/><Relationship Target="../customXml/item1.xml" Type="http://schemas.openxmlformats.org/officeDocument/2006/relationships/customXml" Id="rId1"/><Relationship Target="webSettings.xml" Type="http://schemas.openxmlformats.org/officeDocument/2006/relationships/webSettings" Id="rId6"/><Relationship Target="settings.xml" Type="http://schemas.openxmlformats.org/officeDocument/2006/relationships/settings" Id="rId5"/><Relationship Target="styles.xml" Type="http://schemas.openxmlformats.org/officeDocument/2006/relationships/styles" Id="rId4"/><Relationship Target="media/document_image_rId9.png" Type="http://schemas.openxmlformats.org/officeDocument/2006/relationships/image" Id="rId9"/><Relationship Target="media/document_image_rId10.png" Type="http://schemas.openxmlformats.org/officeDocument/2006/relationships/image" Id="rId10"/><Relationship Target="media/document_image_rId11.png" Type="http://schemas.openxmlformats.org/officeDocument/2006/relationships/image" Id="rId11"/><Relationship Target="media/document_image_rId12.png" Type="http://schemas.openxmlformats.org/officeDocument/2006/relationships/image" Id="rId12"/><Relationship Target="media/document_image_rId13.png" Type="http://schemas.openxmlformats.org/officeDocument/2006/relationships/image" Id="rId13"/><Relationship Target="media/document_image_rId14.png" Type="http://schemas.openxmlformats.org/officeDocument/2006/relationships/image" Id="rId14"/><Relationship Target="media/document_image_rId15.png" Type="http://schemas.openxmlformats.org/officeDocument/2006/relationships/image" Id="rId15"/><Relationship Target="media/document_image_rId16.png" Type="http://schemas.openxmlformats.org/officeDocument/2006/relationships/image" Id="rId16"/><Relationship Target="media/document_image_rId17.png" Type="http://schemas.openxmlformats.org/officeDocument/2006/relationships/image" Id="rId17"/><Relationship Target="media/document_image_rId18.png" Type="http://schemas.openxmlformats.org/officeDocument/2006/relationships/image" Id="rId18"/><Relationship Target="media/document_image_rId19.png" Type="http://schemas.openxmlformats.org/officeDocument/2006/relationships/image" Id="rId19"/><Relationship Target="media/document_image_rId20.png" Type="http://schemas.openxmlformats.org/officeDocument/2006/relationships/image" Id="rId20"/><Relationship Target="media/document_image_rId21.png" Type="http://schemas.openxmlformats.org/officeDocument/2006/relationships/image" Id="rId21"/><Relationship Target="media/document_image_rId22.png" Type="http://schemas.openxmlformats.org/officeDocument/2006/relationships/image" Id="rId22"/><Relationship Target="media/document_image_rId23.png" Type="http://schemas.openxmlformats.org/officeDocument/2006/relationships/image" Id="rId23"/><Relationship Target="media/document_image_rId24.png" Type="http://schemas.openxmlformats.org/officeDocument/2006/relationships/image" Id="rId24"/><Relationship Target="media/document_image_rId25.png" Type="http://schemas.openxmlformats.org/officeDocument/2006/relationships/image" Id="rId25"/><Relationship Target="media/document_image_rId26.png" Type="http://schemas.openxmlformats.org/officeDocument/2006/relationships/image" Id="rId26"/><Relationship Target="media/document_image_rId27.png" Type="http://schemas.openxmlformats.org/officeDocument/2006/relationships/image" Id="rId27"/><Relationship Target="media/document_image_rId28.png" Type="http://schemas.openxmlformats.org/officeDocument/2006/relationships/image" Id="rId28"/><Relationship Target="media/document_image_rId29.png" Type="http://schemas.openxmlformats.org/officeDocument/2006/relationships/image" Id="rId29"/><Relationship Target="media/document_image_rId30.png" Type="http://schemas.openxmlformats.org/officeDocument/2006/relationships/image" Id="rId30"/><Relationship Target="media/document_image_rId31.png" Type="http://schemas.openxmlformats.org/officeDocument/2006/relationships/image" Id="rId31"/><Relationship Target="media/document_image_rId32.png" Type="http://schemas.openxmlformats.org/officeDocument/2006/relationships/image" Id="rId32"/><Relationship Target="media/document_image_rId33.png" Type="http://schemas.openxmlformats.org/officeDocument/2006/relationships/image" Id="rId33"/><Relationship Target="media/document_image_rId34.png" Type="http://schemas.openxmlformats.org/officeDocument/2006/relationships/image" Id="rId34"/><Relationship Target="media/document_image_rId35.png" Type="http://schemas.openxmlformats.org/officeDocument/2006/relationships/image" Id="rId35"/><Relationship Target="media/document_image_rId36.png" Type="http://schemas.openxmlformats.org/officeDocument/2006/relationships/image" Id="rId36"/><Relationship Target="media/document_image_rId37.png" Type="http://schemas.openxmlformats.org/officeDocument/2006/relationships/image" Id="rId37"/><Relationship Target="media/document_image_rId38.png" Type="http://schemas.openxmlformats.org/officeDocument/2006/relationships/image" Id="rId38"/><Relationship Target="media/document_image_rId39.png" Type="http://schemas.openxmlformats.org/officeDocument/2006/relationships/image" Id="rId39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/></Relationships>
</file>

<file path=customXml/_rels/item2.xml.rels><?xml version="1.0" encoding="UTF-8" standalone="yes"?><Relationships xmlns="http://schemas.openxmlformats.org/package/2006/relationships"><Relationship Target="itemProps2.xml" Type="http://schemas.openxmlformats.org/officeDocument/2006/relationships/customXmlProps" Id="rId1"/></Relationships>
</file>

<file path=customXml/item1.xml><?xml version="1.0" encoding="utf-8"?>
<s:customData xmlns:s="http://www.wps.cn/officeDocument/2013/wpsCustomData" xmlns="http://www.wps.cn/officeDocument/2013/wpsCustomData">
  <customSectProps>
    <customSectPr/>
  </customSectProps>
</s:customData>
</file>

<file path=customXml/item2.xml><?xml version="1.0" encoding="utf-8"?>
<b:Sources xmlns:r="http://schemas.openxmlformats.org/officeDocument/2006/relationships" xmlns:w="http://schemas.openxmlformats.org/wordprocessingml/2006/main" xmlns:w15="http://schemas.microsoft.com/office/word/2012/wordml" xmlns:w14="http://schemas.microsoft.com/office/word/2010/wordml" xmlns:wp="http://schemas.openxmlformats.org/drawingml/2006/wordprocessingDrawing" xmlns:a="http://schemas.openxmlformats.org/drawingml/2006/main" xmlns:wp14="http://schemas.microsoft.com/office/word/2010/wordprocessingDrawing" xmlns:m="http://schemas.openxmlformats.org/officeDocument/2006/math" xmlns:mc="http://schemas.openxmlformats.org/markup-compatibility/2006" xmlns:ns10="http://schemas.openxmlformats.org/schemaLibrary/2006/main" xmlns:wne="http://schemas.microsoft.com/office/word/2006/wordml" xmlns:c="http://schemas.openxmlformats.org/drawingml/2006/chart" xmlns:ns13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20="urn:schemas-microsoft-com:office:excel" xmlns:w10="urn:schemas-microsoft-com:office:word" xmlns:ns22="urn:schemas-microsoft-com:office:powerpoint" xmlns:ns24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etp="http://schemas.microsoft.com/office/webextensions/taskpanes/2010/11" xmlns:we="http://schemas.microsoft.com/office/webextensions/webextension/2010/11" xmlns:ns34="http://schemas.openxmlformats.org/drawingml/2006/compatibility" xmlns:ns35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19BC990-40FD-42B6-B8DA-69B41A76D25A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Microsoft</properties:Company>
  <properties:Pages>1</properties:Pages>
  <properties:Words>18</properties:Words>
  <properties:Characters>106</properties:Characters>
  <properties:Lines>1</properties:Lines>
  <properties:Paragraphs>1</properties:Paragraphs>
  <properties:TotalTime>1</properties:TotalTime>
  <properties:ScaleCrop>false</properties:ScaleCrop>
  <properties:LinksUpToDate>false</properties:LinksUpToDate>
  <properties:CharactersWithSpaces>123</properties:CharactersWithSpaces>
  <properties:SharedDoc>false</properties:SharedDoc>
  <properties:HyperlinksChanged>false</properties:HyperlinksChanged>
  <properties:Application>Tencent</properties:Application>
  <properties:AppVersion>3.3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2017-01-10T09:10:00Z</dcterms:created>
  <dc:creator>Tencent</dc:creator>
  <cp:lastModifiedBy>Tencent</cp:lastModifiedBy>
  <dcterms:modified xmlns:xsi="http://www.w3.org/2001/XMLSchema-instance" xsi:type="dcterms:W3CDTF">2018-12-10T07:40:00Z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